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color w:val="000000"/>
        </w:rPr>
        <w:t xml:space="preserve">     </w:t>
      </w:r>
      <w:r w:rsidRPr="00141DF7">
        <w:rPr>
          <w:color w:val="000000"/>
          <w:sz w:val="40"/>
          <w:szCs w:val="40"/>
        </w:rPr>
        <w:t>НИЖЕГОРОДСКАЯ ОБЛАСТЬ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>ЗАКОН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>О наделении органов местного самоуправления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>муниципальных районов и городских округов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 xml:space="preserve">Нижегородской области </w:t>
      </w:r>
      <w:proofErr w:type="gramStart"/>
      <w:r w:rsidRPr="00141DF7">
        <w:rPr>
          <w:color w:val="000000"/>
          <w:sz w:val="40"/>
          <w:szCs w:val="40"/>
        </w:rPr>
        <w:t>отдельными</w:t>
      </w:r>
      <w:proofErr w:type="gramEnd"/>
      <w:r w:rsidRPr="00141DF7">
        <w:rPr>
          <w:color w:val="000000"/>
          <w:sz w:val="40"/>
          <w:szCs w:val="40"/>
        </w:rPr>
        <w:t xml:space="preserve"> государственными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>полномочиями по организации и осуществлению деятельности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>по опеке и попечительству в отношении несовершеннолетних</w:t>
      </w:r>
    </w:p>
    <w:p w:rsidR="004B02CC" w:rsidRPr="00141DF7" w:rsidRDefault="004B02CC">
      <w:pPr>
        <w:pStyle w:val="Heading"/>
        <w:jc w:val="center"/>
        <w:rPr>
          <w:color w:val="000000"/>
          <w:sz w:val="40"/>
          <w:szCs w:val="40"/>
        </w:rPr>
      </w:pPr>
      <w:r w:rsidRPr="00141DF7">
        <w:rPr>
          <w:color w:val="000000"/>
          <w:sz w:val="40"/>
          <w:szCs w:val="40"/>
        </w:rPr>
        <w:t xml:space="preserve">граждан </w:t>
      </w:r>
    </w:p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Законодательным Собранием                          30 августа 2007 года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proofErr w:type="gramStart"/>
      <w:r>
        <w:rPr>
          <w:color w:val="000000"/>
        </w:rPr>
        <w:t>Настоящий Закон разработан в соответствии с Гражданским кодексом Российской Федерации, Семейным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Законом Нижегородской области от 29 декабря 2004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№ 161-З "Об организации деятельности по охране прав детей, нуждающихся в государственной защите, в Нижегородской области" и регулирует отношения по наделению органов местного самоуправления муниципальных районов и городских округов Нижегородской области (далее - органы местного самоуправления)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граждан.</w:t>
      </w:r>
      <w:proofErr w:type="gramEnd"/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Статья 1. Отдельные государственные полномочия по организации и осуществлению деятельности по опеке и попечительству в отношении несовершеннолетних граждан, передаваемые органам местного самоуправления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1. Настоящим Законом органы местного самоуправления наделяются </w:t>
      </w:r>
      <w:r>
        <w:rPr>
          <w:color w:val="000000"/>
        </w:rPr>
        <w:lastRenderedPageBreak/>
        <w:t>следующими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также - государственные полномочия):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организация выявления, учета и устройства детей-сирот и детей, оставшихся без попечения родителей;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2) решение вопросов содержания,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защита прав и интересов несовершеннолетних граждан, в том числе: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а) участие в судебных разбирательствах по вопросам защиты прав и интересов несовершеннолетних;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б) принятие решений по  вопросам, касающимся защиты прав детей, опеки и попечительства, в том числе: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направлении ребенка в учреждение для детей-сирот и детей, оставшихся без попечения родителей;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об установлении и прекращении опеки или попечительства;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заключении несовершеннолетними трудовых договоров в случаях, предусмотренных Трудовым кодексом Российской Федерации;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заключении сделок по отчуждению, в том числе обмену или дарению, имущества несовершеннолетнего, сдаче его внаем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раздельном проживании попечителя с подопечным, достигшим возраста шестнадцати лет;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вступлении несовершеннолетнего в брак;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 признании несовершеннолетнего эмансипированным в установленных законодательством случаях;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об отобрании несовершеннолетнего у родителей или других лиц, на попечении которых он находится;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по иным вопросам, относящимся к компетенции органов опеки и попечительства;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4) заключение договоров, касающихся защиты прав несовершеннолетних: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а) о передаче ребенка на воспитание в приемную семью;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б) о передаче ребенка на патронатное воспитание;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в) о доверительном управлении имуществом несовершеннолетнего;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г) иных договоров, относящихся к компетенции органов опеки и попечительства;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5) рассмотрение обращений граждан и организаций по вопросам защиты прав детей.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Государственные полномочия, определенные частью 1 настоящей статьи, передаются органам местного самоуправления на неопределенный срок.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b/>
          <w:bCs/>
          <w:color w:val="000000"/>
        </w:rPr>
        <w:t xml:space="preserve"> Статья 2. Органы исполнительной власти Нижегородской области, осуществляющие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исполнением переданных органам местного самоуправления государственных полномочий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Органами исполнительной власти Нижегородской области, осуществляющими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переданных органам местного самоуправления государственных полномочий, являются орган исполнительной власти Нижегородской области, осуществляющий управление в сфере образования, и министерство финансов Нижегородской области (далее - уполномоченные органы).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>Статья 3. Права и обязанности органов местного самоуправления при осуществлении переданных государственных полномочий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1. Органы местного самоуправления при осуществлении переданных государственных полномочий имеют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финансовое обеспечение переданных государственных полномочий за счет субвенций, предоставляемых местным бюджетам из областного бюджета;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2) получение разъяснений от уполномоченных органов по вопросам осуществления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дополнительное использование собственных материальных ресурсов и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осуществления переданных государственных полномочий в случаях и порядке, предусмотренных уставами муниципальных районов и городских округов Нижегородской области;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4) принятие муниципальных правовых актов по вопросам, связанным с осуществлением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5) обжалование в судебном порядке письменных предписаний органов государственной власти Нижегородской области по устранению нарушений, допущенных при исполнении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6) внесение предложений уполномоченным органам по совершенствованию деятельности, связанной с порядком осуществления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7) иные права,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Органы местного самоуправления при исполнении переданных государственных полномочий обязаны: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осуществлять переданные государственные полномочия надлежащим образом в соответствии с настоящим Законом и другими нормативными правовыми актами Российской Федерации и Нижегородской области;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2) обеспечивать эффективное и рациональное использование финансовых средств, выделенных из областного бюджета на осуществление переданных </w:t>
      </w:r>
      <w:r>
        <w:rPr>
          <w:color w:val="000000"/>
        </w:rPr>
        <w:lastRenderedPageBreak/>
        <w:t>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исполнять письменные предписания уполномоченных органов по устранению нарушений, допущенных при осуществлении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4) предоставлять уполномоченным органам необходимую информацию, связанную с исполнением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5) выполнять иные обязанности,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b/>
          <w:bCs/>
          <w:color w:val="000000"/>
        </w:rPr>
        <w:t xml:space="preserve"> Статья 4. Права и обязанности органов государственной власти Нижегородской области при осуществлении органами местного самоуправления переданных государственных полномочий</w:t>
      </w: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1. Органы государственной власти Нижегородской области имеют право:</w:t>
      </w:r>
    </w:p>
    <w:p w:rsidR="004B02CC" w:rsidRDefault="004B02CC">
      <w:pPr>
        <w:ind w:firstLine="375"/>
        <w:jc w:val="both"/>
        <w:rPr>
          <w:color w:val="000000"/>
        </w:rPr>
      </w:pPr>
      <w:proofErr w:type="gramStart"/>
      <w:r>
        <w:rPr>
          <w:color w:val="000000"/>
        </w:rPr>
        <w:t>1) издавать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 и осуществлять контроль за их исполнением;</w:t>
      </w:r>
      <w:proofErr w:type="gramEnd"/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2) запрашивать в установленном порядке от органов местного самоуправления необходимую информацию, связанную с осуществлением ими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оказывать через уполномоченные органы методическую помощь органам местного самоуправления в организации их работы по осуществлению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4) иные права в соответствии с законодательством Российской Федерации и законодательством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Органы государственной власти Нижегородской области обязаны: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2) осуществлять через уполномоченные органы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органами местного самоуправления переданных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давать разъяснения и оказывать методическую помощь органам местного самоуправления по вопросам осуществления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4) оказывать содействие органам местного самоуправления в разрешении вопросов, связанных с осуществлением ими переданных государственных полномочий, а также выполнять иные обязанности в соответствии с </w:t>
      </w:r>
      <w:r>
        <w:rPr>
          <w:color w:val="000000"/>
        </w:rPr>
        <w:lastRenderedPageBreak/>
        <w:t>законодательством Российской Федерации и законодательством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Статья 5. Финансовое обеспечение осуществления органами местного самоуправления переданных государственных полномочий</w:t>
      </w: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1. Финансовые средства, необходимые для осуществления органами местного самоуправления переданных государственных полномочий, ежегодно предусматриваются в законе Нижегородской области об областном бюджете на очередной финансовый год в форме субвенций.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Финансовые средства, необходимые для осуществления органами местного самоуправления переданных государственных полномочий, включают в себя расходы на оплату труда сотрудников, обеспечивающих в органах местного самоуправления осуществление государственных полномочий (далее - специалисты по охране детства), и расходы на материально-техническое обеспечение их деятельности.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Специалисты по охране детства являются муниципальными служащими.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Сумма расходов на оплату труда специалистов по охране детства рассчитывается исходя из среднего размера денежного содержания муниципальных служащих соответствующего муниципального образования, исчисленного в соответствии с Законом Нижегородской области от 3 августа 2007 года № 99-З "О муниципальной службе в Нижегородской области", и численности специалистов по охране детства, определяемой на основании норматива, устанавливаемого Правительством Нижегородской области.</w:t>
      </w:r>
      <w:proofErr w:type="gramEnd"/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4. Расходы на материально-техническое обеспечение деятельности специалистов по охране детства включают в себя расходы по организации рабочего места специалиста (канцелярские товары, услуги связи, аренда помещений, коммунальные услуги, прочие услуги), обеспечение транспортными услугами и командировочные расходы.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Сумма расходов на материально-техническое обеспечение деятельности специалистов по охране детства рассчитываются исходя из следующего норматива: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в муниципальном районе (городском округе) с численностью специалистов по охране детства  1 штатная единица - 30 тыс. рублей в год;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2) в муниципальном районе (городском округе) с численностью специалистов по охране детства  2 штатные единицы - 40 тыс. рублей в год;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3) в муниципальном районе (городском округе) с численностью специалистов по охране детства 3 штатные единицы - 50 тыс. рублей в год;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4) в муниципальном районе (городском округе) с численностью специалистов по охране детства  4 штатные единицы - 55 тыс. рублей в год;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5) в муниципальном районе (городском округе) с численностью специалистов по охране детства от 5 до 10 штатных единиц - 75 тыс. рублей в год;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6) в городе Нижний Новгород - 570 тыс. рублей в год.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lastRenderedPageBreak/>
        <w:t>Указанный норматив ежегодно индексируется на уровень инфляции, принятый при формировании областного бюджета на очередной финансовый год.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5. Распределение субвенций бюджетам муниципальных районов и городских округов на осуществление государственных полномочий  утверждается законом Нижегородской области об областном бюджете на очередной финансовый год.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6. Порядок предоставления субвенций из областного бюджета на обеспечение осуществления органами местного самоуправления государственных полномочий определяется законодательством Нижегородской области в соответствии с бюджетным законодательством.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7. Органам местного самоуправления запрещается использование финансовых средств, полученных за счет субвенций из областного бюджета на осуществление государственных полномочий, на другие цели.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b/>
          <w:bCs/>
          <w:color w:val="000000"/>
        </w:rPr>
        <w:t xml:space="preserve">     Статья 6. Порядок передачи материальных средств, необходимых для осуществления органами местного самоуправления переданных государственных полномочий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1. Органы местного самоуправления для осуществления государственных полномочий наделяются материальными средствами на праве собственности или на условиях безвозмездного пользования по перечням, утверждаемым Правительством Нижегородской области (далее - Перечень).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Перечень формируется уполномоченным органом по управлению государственным имуществом Нижегородской области на основании предложений органа исполнительной власти Нижегородской области, осуществляющего управление в сфере образования, и (или) органов местного самоуправления.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3. Сроки внесения и рассмотрения предложений о составе Перечня, перечень необходимых документов определяются Правительством Нижегородской области.</w:t>
      </w:r>
    </w:p>
    <w:p w:rsidR="004B02CC" w:rsidRDefault="004B02CC">
      <w:pPr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b/>
          <w:bCs/>
          <w:color w:val="000000"/>
        </w:rPr>
        <w:t xml:space="preserve"> Статья 7. Порядок отчетности органов местного самоуправления об осуществлении переданных государственных полномочий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Органы местного самоуправления представляют в министерство финансов Нижегородской области отчетность об использовании выделенных финансовых средств на осуществление переданных государственных полномочий по форме и в сроки, установленные для предоставления отчетов об исполнении бюджетов муниципальных районов (городских округов) Нижегородской области, а также иную отчетность по форме и в сроки, установленные уполномоченными органами.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b/>
          <w:bCs/>
          <w:color w:val="000000"/>
        </w:rPr>
        <w:t xml:space="preserve"> Статья 8. Порядок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исполнением органами местного самоуправления переданных государственных полномочий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1. Целью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органами местного самоуправления </w:t>
      </w:r>
      <w:r>
        <w:rPr>
          <w:color w:val="000000"/>
        </w:rPr>
        <w:lastRenderedPageBreak/>
        <w:t>государственных полномочий (далее - контроль) является обеспечение соблюдения органами местного самоуправления при осуществлении ими государственных полномочий требований законодательства Российской Федерации и законодательства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Контроль осуществляется путем проведения проверок, запросов необходимых документов и информации об исполнении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граждан, предусмотренных законодательством Российской Федерации и законодательством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3. Правительство Нижегородской области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переданных органам местного самоуправления государственных полномочий через орган исполнительной власти Нижегородской области, осуществляющий управление в сфере образования.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4. Правительство Нижегородской области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органами местного самоуправления финансовых средств, предоставленных им для осуществления государственных полномочий, через министерство финансов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5. В случае выявления нарушений органами местного самоуправления или должностными лицами органов местного самоуправления законодательства Нижегородской области по вопросам осуществления государственных </w:t>
      </w:r>
      <w:proofErr w:type="gramStart"/>
      <w:r>
        <w:rPr>
          <w:color w:val="000000"/>
        </w:rPr>
        <w:t>полномочий</w:t>
      </w:r>
      <w:proofErr w:type="gramEnd"/>
      <w:r>
        <w:rPr>
          <w:color w:val="000000"/>
        </w:rPr>
        <w:t xml:space="preserve"> уполномоченные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Статья 9. Условия и порядок прекращения исполнения органами местного самоуправления переданных государственных полномочий</w:t>
      </w: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1. Исполнение органами местного самоуправления переданных государственных полномочий может быть прекращено в случае вступления в силу федерального закона или закона Нижегородской области, в связи с которыми реализация переданных государственных полномочий органами местного самоуправления становится невозможной.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Исполнение переданных государственных полномочий может быть прекращено или приостановлено законом Нижегородской области по инициативе Губернатора Нижегородской области в отношении одного или нескольких муниципальных образований по следующим основаниям: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1) в случае неисполнения, ненадлежащего исполнения или невозможности исполнения органами местного самоуправления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2) в случае нецелесообразности исполнения органами местного самоуправления переданных государственных полномочий;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3) по иным основаниям, предусмотренным законодательством Российской </w:t>
      </w:r>
      <w:r>
        <w:rPr>
          <w:color w:val="000000"/>
        </w:rPr>
        <w:lastRenderedPageBreak/>
        <w:t>Федерации и законодательством Нижегородской области.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3. Возврат финансовых средств и материальных ресурсов, переданных органам местного самоуправления для исполнения переданных государственных полномочий, в случае прекращения и приостановления их исполнения органами местного самоуправления осуществляется в порядке, предусмотренном законодательством Российской Федерации и законодательством Нижегородской области.</w:t>
      </w:r>
    </w:p>
    <w:p w:rsidR="004B02CC" w:rsidRDefault="004B02CC">
      <w:pPr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Статья 10. Ответственность органов местного самоуправления, их должностных лиц за неисполнение или ненадлежащее исполнение переданных государственных полномочий</w:t>
      </w: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Органы местного самоуправления, их должностные лица несут ответственность за неисполнение или ненадлежащее исполнение переданных государственных полномочий в соответствии с законодательством Российской Федерации и законодательством Нижегородской области в той мере, в какой указанные полномочия были обеспечены соответствующими органами государственной власти Нижегородской области материальными ресурсами и финансовыми средствами.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Статья 11. Заключительные положения</w:t>
      </w:r>
      <w:r>
        <w:rPr>
          <w:color w:val="000000"/>
        </w:rPr>
        <w:t xml:space="preserve">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1. Настоящий Закон вступает в силу с 1 января 2008 года. 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>2. Настоящий Закон ежегодно вводится в действие законом Нижегородской области об областном бюджете на очередной финансовый год.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Сумма расходов на оплату труда специалистов по охране детства на 2008 год определяется исходя из среднего размера денежного содержания муниципальных служащих соответствующего муниципального образования, исчисленного в соответствии с Законом Нижегородской области от 3 августа 2007 года № 99-З "О муниципальной службе в Нижегородской области" и из фактической численности специалистов по охране детства органов местного самоуправления по состоянию на 1 июля 2007</w:t>
      </w:r>
      <w:proofErr w:type="gramEnd"/>
      <w:r>
        <w:rPr>
          <w:color w:val="000000"/>
        </w:rPr>
        <w:t xml:space="preserve"> года.</w:t>
      </w:r>
    </w:p>
    <w:p w:rsidR="004B02CC" w:rsidRDefault="004B02CC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4. Часть 3 статьи 5 настоящего Закона применяется к правоотношениям, связанным с формированием и исполнением областного бюджета на 2009 и последующие годы. </w:t>
      </w: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</w:p>
    <w:p w:rsidR="004B02CC" w:rsidRDefault="004B02CC">
      <w:pPr>
        <w:ind w:firstLine="37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5"/>
        <w:gridCol w:w="4530"/>
      </w:tblGrid>
      <w:tr w:rsidR="004B02CC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4B02CC" w:rsidRDefault="004B0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Губернатор области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B02CC" w:rsidRDefault="004B02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В.П. Шанцев </w:t>
            </w:r>
          </w:p>
        </w:tc>
      </w:tr>
    </w:tbl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  <w:r>
        <w:rPr>
          <w:color w:val="000000"/>
        </w:rPr>
        <w:t>Нижний Новгород</w:t>
      </w:r>
    </w:p>
    <w:p w:rsidR="004B02CC" w:rsidRDefault="004B02CC">
      <w:pPr>
        <w:jc w:val="both"/>
        <w:rPr>
          <w:color w:val="000000"/>
        </w:rPr>
      </w:pPr>
      <w:r>
        <w:rPr>
          <w:color w:val="000000"/>
        </w:rPr>
        <w:t>7 сентября 2007 года</w:t>
      </w:r>
    </w:p>
    <w:p w:rsidR="004B02CC" w:rsidRDefault="004B02CC">
      <w:pPr>
        <w:jc w:val="both"/>
        <w:rPr>
          <w:color w:val="000000"/>
        </w:rPr>
      </w:pPr>
      <w:r>
        <w:rPr>
          <w:color w:val="000000"/>
        </w:rPr>
        <w:lastRenderedPageBreak/>
        <w:t>№ 125-З</w:t>
      </w:r>
    </w:p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</w:p>
    <w:p w:rsidR="004B02CC" w:rsidRDefault="004B02CC">
      <w:pPr>
        <w:jc w:val="both"/>
        <w:rPr>
          <w:color w:val="000000"/>
        </w:rPr>
      </w:pPr>
    </w:p>
    <w:sectPr w:rsidR="004B02CC" w:rsidSect="002B71C5">
      <w:pgSz w:w="12240" w:h="15840"/>
      <w:pgMar w:top="993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A0"/>
    <w:rsid w:val="00141DF7"/>
    <w:rsid w:val="002B71C5"/>
    <w:rsid w:val="004B02CC"/>
    <w:rsid w:val="005144A0"/>
    <w:rsid w:val="007A5259"/>
    <w:rsid w:val="008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sz w:val="28"/>
      <w:szCs w:val="2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sz w:val="28"/>
      <w:szCs w:val="2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НИЖЕГОРОДСКАЯ ОБЛАСТЬ</vt:lpstr>
    </vt:vector>
  </TitlesOfParts>
  <Company>АГНО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НИЖЕГОРОДСКАЯ ОБЛАСТЬ</dc:title>
  <dc:creator>krepak</dc:creator>
  <cp:lastModifiedBy>Пользователь Windows</cp:lastModifiedBy>
  <cp:revision>2</cp:revision>
  <dcterms:created xsi:type="dcterms:W3CDTF">2017-09-10T20:28:00Z</dcterms:created>
  <dcterms:modified xsi:type="dcterms:W3CDTF">2017-09-10T20:28:00Z</dcterms:modified>
</cp:coreProperties>
</file>